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FB1" w:rsidRDefault="00E07FB1" w:rsidP="00E07FB1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:rsidR="00E07FB1" w:rsidRDefault="00E07FB1" w:rsidP="00E07FB1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课程设置</w:t>
      </w:r>
    </w:p>
    <w:tbl>
      <w:tblPr>
        <w:tblW w:w="9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4"/>
        <w:gridCol w:w="5668"/>
      </w:tblGrid>
      <w:tr w:rsidR="00E07FB1" w:rsidTr="00672C21">
        <w:trPr>
          <w:trHeight w:val="48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课程模块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课题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600" w:lineRule="exact"/>
              <w:ind w:firstLine="600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2"/>
                <w:szCs w:val="32"/>
              </w:rPr>
              <w:t>课程内容</w:t>
            </w:r>
          </w:p>
        </w:tc>
      </w:tr>
      <w:tr w:rsidR="00E07FB1" w:rsidTr="00672C21">
        <w:trPr>
          <w:trHeight w:val="47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基础课程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企业国际化经营战略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跨国公司的架构和组织形式</w:t>
            </w:r>
          </w:p>
        </w:tc>
      </w:tr>
      <w:tr w:rsidR="00E07FB1" w:rsidTr="00672C21">
        <w:trPr>
          <w:trHeight w:val="3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国际市场战略决策的框架和要素</w:t>
            </w:r>
          </w:p>
        </w:tc>
      </w:tr>
      <w:tr w:rsidR="00E07FB1" w:rsidTr="00672C21">
        <w:trPr>
          <w:trHeight w:val="45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跨国企业品牌创新与营销整合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跨国公司的全球化与本土化品牌整合策略</w:t>
            </w:r>
          </w:p>
        </w:tc>
      </w:tr>
      <w:tr w:rsidR="00E07FB1" w:rsidTr="00672C21">
        <w:trPr>
          <w:trHeight w:val="39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跨国公司的国际营销战略创新</w:t>
            </w:r>
          </w:p>
        </w:tc>
      </w:tr>
      <w:tr w:rsidR="00E07FB1" w:rsidTr="00672C21">
        <w:trPr>
          <w:trHeight w:val="47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跨国企业案例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析</w:t>
            </w:r>
          </w:p>
        </w:tc>
      </w:tr>
      <w:tr w:rsidR="00E07FB1" w:rsidTr="00672C21">
        <w:trPr>
          <w:trHeight w:val="4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公共课程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企业文化管理与提升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国际化人才的素质特殊需求和培养计划</w:t>
            </w:r>
          </w:p>
        </w:tc>
      </w:tr>
      <w:tr w:rsidR="00E07FB1" w:rsidTr="00672C21">
        <w:trPr>
          <w:trHeight w:val="4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跨文化沟通的能力和技巧</w:t>
            </w:r>
          </w:p>
        </w:tc>
      </w:tr>
      <w:tr w:rsidR="00E07FB1" w:rsidTr="00672C21">
        <w:trPr>
          <w:trHeight w:val="4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互联网时代管理战略与营销模式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中国互联网战略与电子商务政策解析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 </w:t>
            </w:r>
          </w:p>
        </w:tc>
      </w:tr>
      <w:tr w:rsidR="00E07FB1" w:rsidTr="00672C21">
        <w:trPr>
          <w:trHeight w:val="4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跨境电子商务创新发展</w:t>
            </w:r>
          </w:p>
        </w:tc>
      </w:tr>
      <w:tr w:rsidR="00E07FB1" w:rsidTr="00672C21">
        <w:trPr>
          <w:trHeight w:val="4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案例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析</w:t>
            </w:r>
          </w:p>
        </w:tc>
      </w:tr>
      <w:tr w:rsidR="00E07FB1" w:rsidTr="00672C21">
        <w:trPr>
          <w:trHeight w:val="42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特色课程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国家对外经贸战略解析及政策解读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一带一路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战略背景与中小企业发展机遇</w:t>
            </w:r>
          </w:p>
        </w:tc>
      </w:tr>
      <w:tr w:rsidR="00E07FB1" w:rsidTr="00672C21">
        <w:trPr>
          <w:trHeight w:val="7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中国对外贸易投资和经济合作总体形势和政策措施</w:t>
            </w:r>
          </w:p>
        </w:tc>
      </w:tr>
      <w:tr w:rsidR="00E07FB1" w:rsidTr="00672C21">
        <w:trPr>
          <w:trHeight w:val="13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《中国制造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》、国际产能和装备制造业合作战略布局、重点产业发展领域和国家相关扶持政策措施</w:t>
            </w:r>
          </w:p>
        </w:tc>
      </w:tr>
      <w:tr w:rsidR="00E07FB1" w:rsidTr="00672C21">
        <w:trPr>
          <w:trHeight w:val="4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企业对外贸易投资税收优惠政策</w:t>
            </w:r>
          </w:p>
        </w:tc>
      </w:tr>
      <w:tr w:rsidR="00E07FB1" w:rsidTr="00672C21">
        <w:trPr>
          <w:trHeight w:val="79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国家外汇管理最新政策与企业对外投资外汇管理体制</w:t>
            </w:r>
          </w:p>
        </w:tc>
      </w:tr>
      <w:tr w:rsidR="00E07FB1" w:rsidTr="00672C21">
        <w:trPr>
          <w:trHeight w:val="39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境外经贸合作区运营现状和发展趋势</w:t>
            </w:r>
          </w:p>
        </w:tc>
      </w:tr>
      <w:tr w:rsidR="00E07FB1" w:rsidTr="00672C21">
        <w:trPr>
          <w:trHeight w:val="50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企业国际化经营管理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实务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中小企业对外贸易投资知识产权保护</w:t>
            </w:r>
          </w:p>
        </w:tc>
      </w:tr>
      <w:tr w:rsidR="00E07FB1" w:rsidTr="00672C21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中小企业对外贸易投资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方式及筹融资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渠道</w:t>
            </w:r>
          </w:p>
        </w:tc>
      </w:tr>
      <w:tr w:rsidR="00E07FB1" w:rsidTr="00672C21">
        <w:trPr>
          <w:trHeight w:val="55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企业对外贸易投资投融资架构与税务筹划</w:t>
            </w:r>
          </w:p>
        </w:tc>
      </w:tr>
      <w:tr w:rsidR="00E07FB1" w:rsidTr="00672C21">
        <w:trPr>
          <w:trHeight w:val="4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多双边自由贸易协定（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FTA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）应用</w:t>
            </w:r>
          </w:p>
        </w:tc>
      </w:tr>
      <w:tr w:rsidR="00E07FB1" w:rsidTr="00672C21">
        <w:trPr>
          <w:trHeight w:val="54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企业国际化管理经营风险防范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对外贸易投资金融风险管理与防范</w:t>
            </w:r>
          </w:p>
        </w:tc>
      </w:tr>
      <w:tr w:rsidR="00E07FB1" w:rsidTr="00672C21">
        <w:trPr>
          <w:trHeight w:val="4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对外贸易投资法律风险防范</w:t>
            </w:r>
          </w:p>
        </w:tc>
      </w:tr>
      <w:tr w:rsidR="00E07FB1" w:rsidTr="00672C21">
        <w:trPr>
          <w:trHeight w:val="46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对外贸易投资保险、担保安排策略及实用性建议</w:t>
            </w:r>
          </w:p>
        </w:tc>
      </w:tr>
      <w:tr w:rsidR="00E07FB1" w:rsidTr="00672C21">
        <w:trPr>
          <w:trHeight w:val="488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企业对外贸易投资争议纠纷解决</w:t>
            </w:r>
          </w:p>
        </w:tc>
      </w:tr>
      <w:tr w:rsidR="00E07FB1" w:rsidTr="00672C21">
        <w:trPr>
          <w:trHeight w:val="56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热点国别和地区经济发展及贸易投资环境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针对美国、欧盟、拉美国家、上合组织国家、东盟国家、亚太经合组织国家、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一带一路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沿线国家等专题，邀请对外贸易投资热点国别和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地区驻华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使馆商务官员和工商界代表介绍本国经济发展状况、行业布局及贸易投资环境</w:t>
            </w:r>
          </w:p>
        </w:tc>
      </w:tr>
      <w:tr w:rsidR="00E07FB1" w:rsidTr="00672C21">
        <w:trPr>
          <w:trHeight w:val="56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选修课程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国际业务领导力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商业战略决策过程中需要考虑的政治、文化和法律环境因素</w:t>
            </w:r>
          </w:p>
        </w:tc>
      </w:tr>
      <w:tr w:rsidR="00E07FB1" w:rsidTr="00672C21">
        <w:trPr>
          <w:trHeight w:val="5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建立国际职业形象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国际职业形象必备要素和形象规范</w:t>
            </w:r>
          </w:p>
        </w:tc>
      </w:tr>
      <w:tr w:rsidR="00E07FB1" w:rsidTr="00672C21">
        <w:trPr>
          <w:trHeight w:val="43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境外出访学习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业务交流、项目对接、考察市场环境</w:t>
            </w:r>
          </w:p>
        </w:tc>
      </w:tr>
      <w:tr w:rsidR="00E07FB1" w:rsidTr="00672C21">
        <w:trPr>
          <w:trHeight w:val="41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领军增值</w:t>
            </w:r>
          </w:p>
          <w:p w:rsidR="00E07FB1" w:rsidRDefault="00E07FB1" w:rsidP="00672C21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服务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领军企业转型升级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暨成果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交流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转型升级指导</w:t>
            </w:r>
          </w:p>
        </w:tc>
      </w:tr>
      <w:tr w:rsidR="00E07FB1" w:rsidTr="00672C21">
        <w:trPr>
          <w:trHeight w:val="44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优秀案例分享</w:t>
            </w:r>
          </w:p>
        </w:tc>
      </w:tr>
      <w:tr w:rsidR="00E07FB1" w:rsidTr="00672C21">
        <w:trPr>
          <w:trHeight w:val="4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合作成果交流</w:t>
            </w:r>
          </w:p>
        </w:tc>
      </w:tr>
      <w:tr w:rsidR="00E07FB1" w:rsidTr="00672C21">
        <w:trPr>
          <w:trHeight w:val="48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领军企业家巡回周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前沿咨询、商业模式、系统提升</w:t>
            </w:r>
          </w:p>
        </w:tc>
      </w:tr>
      <w:tr w:rsidR="00E07FB1" w:rsidTr="00672C21">
        <w:trPr>
          <w:trHeight w:val="5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领军企业家网络课堂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宏观经济、政策解读、行业发展</w:t>
            </w:r>
          </w:p>
        </w:tc>
      </w:tr>
      <w:tr w:rsidR="00E07FB1" w:rsidTr="00672C21">
        <w:trPr>
          <w:trHeight w:val="48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adjustRightInd w:val="0"/>
              <w:snapToGrid w:val="0"/>
              <w:spacing w:line="5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领军企业家高端交流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领军企业家沙龙</w:t>
            </w:r>
          </w:p>
        </w:tc>
      </w:tr>
      <w:tr w:rsidR="00E07FB1" w:rsidTr="00672C21">
        <w:trPr>
          <w:trHeight w:val="52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《领军企业家》杂志</w:t>
            </w:r>
          </w:p>
        </w:tc>
      </w:tr>
      <w:tr w:rsidR="00E07FB1" w:rsidTr="00672C21">
        <w:trPr>
          <w:trHeight w:val="5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FB1" w:rsidRDefault="00E07FB1" w:rsidP="00672C21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FB1" w:rsidRDefault="00E07FB1" w:rsidP="00672C21">
            <w:pPr>
              <w:adjustRightInd w:val="0"/>
              <w:snapToGrid w:val="0"/>
              <w:spacing w:line="48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领军企业家联谊会</w:t>
            </w:r>
          </w:p>
        </w:tc>
      </w:tr>
    </w:tbl>
    <w:p w:rsidR="00E07FB1" w:rsidRDefault="00E07FB1" w:rsidP="00E07FB1">
      <w:pPr>
        <w:rPr>
          <w:rFonts w:ascii="Times New Roman" w:hAnsi="Times New Roman" w:cs="Times New Roman"/>
        </w:rPr>
      </w:pPr>
    </w:p>
    <w:p w:rsidR="0053117B" w:rsidRDefault="0053117B">
      <w:bookmarkStart w:id="0" w:name="_GoBack"/>
      <w:bookmarkEnd w:id="0"/>
    </w:p>
    <w:sectPr w:rsidR="0053117B" w:rsidSect="00E07FB1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4E7" w:rsidRDefault="008854E7" w:rsidP="00E07FB1">
      <w:r>
        <w:separator/>
      </w:r>
    </w:p>
  </w:endnote>
  <w:endnote w:type="continuationSeparator" w:id="0">
    <w:p w:rsidR="008854E7" w:rsidRDefault="008854E7" w:rsidP="00E07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77178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07FB1" w:rsidRPr="00E07FB1" w:rsidRDefault="00E07FB1">
        <w:pPr>
          <w:pStyle w:val="a4"/>
          <w:jc w:val="right"/>
          <w:rPr>
            <w:rFonts w:asciiTheme="minorEastAsia" w:hAnsiTheme="minorEastAsia"/>
            <w:sz w:val="28"/>
            <w:szCs w:val="28"/>
          </w:rPr>
        </w:pPr>
        <w:r w:rsidRPr="00E07FB1">
          <w:rPr>
            <w:rFonts w:asciiTheme="minorEastAsia" w:hAnsiTheme="minorEastAsia"/>
            <w:sz w:val="28"/>
            <w:szCs w:val="28"/>
          </w:rPr>
          <w:fldChar w:fldCharType="begin"/>
        </w:r>
        <w:r w:rsidRPr="00E07FB1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07FB1">
          <w:rPr>
            <w:rFonts w:asciiTheme="minorEastAsia" w:hAnsiTheme="minorEastAsia"/>
            <w:sz w:val="28"/>
            <w:szCs w:val="28"/>
          </w:rPr>
          <w:fldChar w:fldCharType="separate"/>
        </w:r>
        <w:r w:rsidRPr="00E07FB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E07FB1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E07FB1" w:rsidRDefault="00E07FB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4E7" w:rsidRDefault="008854E7" w:rsidP="00E07FB1">
      <w:r>
        <w:separator/>
      </w:r>
    </w:p>
  </w:footnote>
  <w:footnote w:type="continuationSeparator" w:id="0">
    <w:p w:rsidR="008854E7" w:rsidRDefault="008854E7" w:rsidP="00E07F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51"/>
    <w:rsid w:val="001C3851"/>
    <w:rsid w:val="0053117B"/>
    <w:rsid w:val="008854E7"/>
    <w:rsid w:val="00E0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B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7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7F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7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7F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李钰琼</dc:creator>
  <cp:keywords/>
  <dc:description/>
  <cp:lastModifiedBy>李钰琼</cp:lastModifiedBy>
  <cp:revision>2</cp:revision>
  <dcterms:created xsi:type="dcterms:W3CDTF">2016-08-04T07:03:00Z</dcterms:created>
  <dcterms:modified xsi:type="dcterms:W3CDTF">2016-08-04T07:03:00Z</dcterms:modified>
</cp:coreProperties>
</file>