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E2" w:rsidRDefault="001C76BE" w:rsidP="001C76BE">
      <w:pPr>
        <w:spacing w:line="560" w:lineRule="exac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石景山区推介项目：</w:t>
      </w:r>
    </w:p>
    <w:p w:rsidR="00E95CE2" w:rsidRDefault="00E95CE2">
      <w:pPr>
        <w:tabs>
          <w:tab w:val="left" w:pos="1800"/>
        </w:tabs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（一）世界侨商创新中心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项目位置</w:t>
      </w:r>
      <w:r>
        <w:rPr>
          <w:rFonts w:ascii="仿宋_GB2312" w:eastAsia="仿宋_GB2312" w:hAnsi="仿宋_GB2312" w:hint="eastAsia"/>
          <w:sz w:val="32"/>
        </w:rPr>
        <w:t>：项目位于新首钢高端产业综合服务区内长安街西延线南侧，是北京“侨梦苑”的核心区域。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建设布局：</w:t>
      </w:r>
      <w:r>
        <w:rPr>
          <w:rFonts w:ascii="仿宋_GB2312" w:eastAsia="仿宋_GB2312" w:hAnsi="仿宋_GB2312" w:hint="eastAsia"/>
          <w:bCs/>
          <w:sz w:val="32"/>
        </w:rPr>
        <w:t>项目</w:t>
      </w:r>
      <w:r>
        <w:rPr>
          <w:rFonts w:ascii="仿宋_GB2312" w:eastAsia="仿宋_GB2312" w:hAnsi="仿宋_GB2312" w:hint="eastAsia"/>
          <w:sz w:val="32"/>
        </w:rPr>
        <w:t>用地面积4.36公顷，建筑面积22万平方米。场地内部打造出 “庭”、“院”、“街”、“弄” 等六种不同性质的古典空间类型，且根据建筑类型及功能的不同，形成多样的空间形式。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产业定位</w:t>
      </w:r>
      <w:r>
        <w:rPr>
          <w:rFonts w:ascii="仿宋_GB2312" w:eastAsia="仿宋_GB2312" w:hAnsi="仿宋_GB2312" w:hint="eastAsia"/>
          <w:sz w:val="32"/>
        </w:rPr>
        <w:t>：</w:t>
      </w:r>
      <w:r>
        <w:rPr>
          <w:rFonts w:ascii="仿宋_GB2312" w:eastAsia="仿宋_GB2312" w:hint="eastAsia"/>
          <w:sz w:val="32"/>
          <w:szCs w:val="32"/>
        </w:rPr>
        <w:t>以高新技术产业、金融产业为主，重点聚焦高新技术产业中技术研发、前瞻技术研究等高端环节</w:t>
      </w:r>
      <w:r>
        <w:rPr>
          <w:rFonts w:ascii="仿宋_GB2312" w:eastAsia="仿宋_GB2312" w:hAnsi="仿宋_GB2312" w:hint="eastAsia"/>
          <w:sz w:val="32"/>
        </w:rPr>
        <w:t>，未来将成为贯彻京津冀协同发展战略的重要引擎，以及侨商产业聚集区和华侨华人创新创业基地。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/>
          <w:sz w:val="32"/>
        </w:rPr>
        <w:t>（二）北京保险产业园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项目位置：</w:t>
      </w:r>
      <w:r>
        <w:rPr>
          <w:rFonts w:ascii="仿宋_GB2312" w:eastAsia="仿宋_GB2312" w:hAnsi="仿宋_GB2312" w:hint="eastAsia"/>
          <w:sz w:val="32"/>
        </w:rPr>
        <w:t xml:space="preserve">位于中关村石景山园，是中国保监会和北京市政府联手打造的、全国首家以保险业为发展主题的国家级产业园。   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：三大区域——产业核心区+产业辐射区+产业拓展区。产业核心区，位于西山八大处南侧，用地面积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4.5公顷，建筑面积</w:t>
      </w:r>
      <w:r>
        <w:rPr>
          <w:rFonts w:ascii="仿宋_GB2312" w:eastAsia="仿宋_GB2312" w:hAnsi="仿宋_GB2312" w:cs="仿宋_GB2312"/>
          <w:sz w:val="32"/>
          <w:szCs w:val="32"/>
        </w:rPr>
        <w:t>56.3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万平方米。产业辐射区、产业拓展区，位于新首钢高端产业综合服务区内，为北京保险产业园可持续发展提供了广阔空间。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：重点吸收保险业创新改革中产生的“增量”，突出经营总部、区域总部建设；引导创新型保险业态发展，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完善保险主产业和上下游产业链；建设全国保险“数字特区”，打造“保险文化新区”；支持监管机构和行业组织进行业务布局，打造保险政策智库。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（三）金融街（长安）中心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：位于石景山区京西商务区核心，紧邻长安街西延线和1号线古城地铁站，距古城地铁站仅200米。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该项目与绿地环球文化金融城项目一同构成整条长安街上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展示面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大的综合体，高度120米，是区域内高度最高的地标综合体。该项目总建筑面积约37万平米，包含5A级写字楼、五星级酒店、多功能空间以及地上地下的精品商业街，业态丰富。建筑群中部设计有一条南北走向的主轴，中间贯穿社区中央9000平方米商业广场，形成东西基本对称的整体格局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：重点吸引北京及国际知名的大型金融企业财团以及实力雄厚央企、国企等机构的企业总部。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（四）绿地环球文化金融城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位于石景山区京西商务区核心，紧邻长安街西延线，距古城地铁站仅200米。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建设布局：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该项目是高端商务综合体，定位服务于高端商务、现代金融为主的国际级商务中心，中心配置绿地产业发展中心及独有的8+N智慧办公模块。项目总建筑面积约23万平方米，包括4栋办公楼及配套商业，建筑高度120米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重点吸引北京及国际知名的大型金融企业财团以及实力雄厚央企、国企等机构的企业总部。</w:t>
      </w:r>
    </w:p>
    <w:p w:rsidR="00E95CE2" w:rsidRDefault="001C76BE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    （五）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泰禾长安中心</w:t>
      </w:r>
      <w:proofErr w:type="gramEnd"/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：位于石景山区银河综合商务区内，北侧距长安街西延线300米。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项目占地面积2.1公顷，总建筑面积为18万平方米，为C2商业金融用地，其中规划超5A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国际甲级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写字楼建筑面积约6.6万平方米，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奢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尚名品商街约近3万平方米。项目引入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泰禾集团顶级商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管物业管理团队，建立九大服务平台，涵盖了金融、法律、差旅、物业等方面，为业主提供全方位、全维度的专属管家服务。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：重点引进大型现代金融、信息科技企业总部以及</w:t>
      </w:r>
      <w:r>
        <w:rPr>
          <w:rFonts w:ascii="仿宋_GB2312" w:eastAsia="仿宋_GB2312" w:hAnsi="仿宋_GB2312" w:cs="仿宋_GB2312"/>
          <w:sz w:val="32"/>
          <w:szCs w:val="32"/>
        </w:rPr>
        <w:t>文化创意、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商务服务</w:t>
      </w:r>
      <w:r>
        <w:rPr>
          <w:rFonts w:ascii="仿宋_GB2312" w:eastAsia="仿宋_GB2312" w:hAnsi="仿宋_GB2312" w:cs="仿宋_GB2312"/>
          <w:sz w:val="32"/>
          <w:szCs w:val="32"/>
        </w:rPr>
        <w:t>等符合石景山区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>
        <w:rPr>
          <w:rFonts w:ascii="仿宋_GB2312" w:eastAsia="仿宋_GB2312" w:hAnsi="仿宋_GB2312" w:cs="仿宋_GB2312"/>
          <w:sz w:val="32"/>
          <w:szCs w:val="32"/>
        </w:rPr>
        <w:t xml:space="preserve">发展的绿色高端主导产业。 </w:t>
      </w:r>
    </w:p>
    <w:p w:rsidR="00E95CE2" w:rsidRDefault="001C76BE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（六）启迪•香山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：石景山香山南路，北京射击场西侧。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该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项目是启迪控股打造的新一代国际化、智慧型的科技创新创业综合体，建筑面积约15.6万平方米，由云总部、慧空间、创新坊、悦街区四部分构成，建有5A级写字楼、开放式商业街、创新沙龙坊、酒店式公寓。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产业定位：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引入启迪孵化器--启迪之星，采用“孵化+投资”的发展方式，整合清华大学及启迪控股内外部创新资源，搭建创新创业平台，以可变空间承载有梦想的创意创新型小微企业。未来启迪·香山将聚集高端产业、整合总部资源、推动区域产业与经济发展，打造北京西部的“清华科技园”。</w:t>
      </w:r>
    </w:p>
    <w:p w:rsidR="00E95CE2" w:rsidRDefault="001C76BE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（七）点石商务公园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：位于石景山区八大处路45号，6号线西延线穿过项目南侧。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项目规划建设成为中关村石景山园内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地标级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高品质商务集群，占地面积约3.5公顷，建筑面积约16.3万平方米，其中地上建筑面积为12.4万平方米，包括5A甲级写字楼、创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智型独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栋写字楼及精品配套型商业，满足从规模型企业到发展型企业各个层级的不同办公需求。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产业定位：</w:t>
      </w:r>
      <w:r>
        <w:rPr>
          <w:rFonts w:ascii="仿宋_GB2312" w:eastAsia="仿宋_GB2312" w:hAnsi="仿宋_GB2312" w:cs="仿宋_GB2312"/>
          <w:sz w:val="32"/>
          <w:szCs w:val="32"/>
        </w:rPr>
        <w:t>文化创意、高新技术、现代金融等符合石景山区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>
        <w:rPr>
          <w:rFonts w:ascii="仿宋_GB2312" w:eastAsia="仿宋_GB2312" w:hAnsi="仿宋_GB2312" w:cs="仿宋_GB2312"/>
          <w:sz w:val="32"/>
          <w:szCs w:val="32"/>
        </w:rPr>
        <w:t xml:space="preserve">发展的绿色高端主导产业。 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（八）</w:t>
      </w:r>
      <w:r>
        <w:rPr>
          <w:rFonts w:ascii="仿宋_GB2312" w:eastAsia="仿宋_GB2312" w:hAnsi="仿宋_GB2312" w:cs="仿宋_GB2312"/>
          <w:b/>
          <w:sz w:val="32"/>
          <w:szCs w:val="32"/>
        </w:rPr>
        <w:t>古城创业大厦</w:t>
      </w:r>
    </w:p>
    <w:p w:rsidR="00E95CE2" w:rsidRDefault="001C76BE">
      <w:pPr>
        <w:widowControl/>
        <w:spacing w:line="560" w:lineRule="exact"/>
        <w:ind w:left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：位于石景山区古城西街。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项目建设用地约1.42公顷，总建筑面积7.75万平方米，其中地上建筑面积5.02万平方米，地下建筑面积2.73万平方米。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由A、B、C三栋建筑组成，主体办公楼A座18层，高80m，位于场地的东侧，紧临古城西街。场地西侧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B座10层办公楼和北侧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C座3层商务楼。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</w:t>
      </w:r>
      <w:r>
        <w:rPr>
          <w:rFonts w:ascii="仿宋_GB2312" w:eastAsia="仿宋_GB2312" w:hAnsi="仿宋_GB2312" w:cs="仿宋_GB2312"/>
          <w:b/>
          <w:sz w:val="32"/>
          <w:szCs w:val="32"/>
        </w:rPr>
        <w:t>定位</w:t>
      </w:r>
      <w:r>
        <w:rPr>
          <w:rFonts w:ascii="仿宋_GB2312" w:eastAsia="仿宋_GB2312" w:hAnsi="仿宋_GB2312" w:cs="仿宋_GB2312"/>
          <w:sz w:val="32"/>
          <w:szCs w:val="32"/>
        </w:rPr>
        <w:t>：文化创意、高新技术、现代金融等符合石景山区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>
        <w:rPr>
          <w:rFonts w:ascii="仿宋_GB2312" w:eastAsia="仿宋_GB2312" w:hAnsi="仿宋_GB2312" w:cs="仿宋_GB2312"/>
          <w:sz w:val="32"/>
          <w:szCs w:val="32"/>
        </w:rPr>
        <w:t xml:space="preserve">发展的绿色高端主导产业。 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（九）泰然国际大厦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：紧邻长安街西延线和1号线古城地铁站，距古城地铁站仅200米。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：秉承“打造全新石景山商业服务价值生态源”的构建理念，发展商业服务地产领域最受瞩目的项目，该项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目与金融街（长安）中心项目统一建设，保持一致的建设标准与规格。大厦总建筑面积约2万平方米，共13层，其中1-3层为商业；4层以上为办公，标准层面积约1400平方米。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：金融保险、能源环保、科技创新、互联网金融为主导产业的商务金融总部。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（十）中海大厦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：紧邻长安街西延线北侧，距古城地铁站约800米。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由两栋甲级写字楼及裙房商业配套组成，总建筑面积超8.1万平方米。单栋大厦地上面积约3万平方米，共19层，其中1-2层为商业；3层以上为办公，标准层面积约1900平方米。该大厦办公楼层已全部铺设网络地板，净层高2.8米。</w:t>
      </w:r>
    </w:p>
    <w:p w:rsidR="00E95CE2" w:rsidRDefault="001C76B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：高新技术、金融数据服务、设计制造的创新科技企业和金融及高端商务企业。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（十一）首钢·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西十冬奥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广场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：位于新首钢高端产业综合服务区北部</w:t>
      </w:r>
      <w:r>
        <w:rPr>
          <w:rFonts w:ascii="仿宋_GB2312" w:eastAsia="仿宋_GB2312" w:hAnsi="Calibri" w:hint="eastAsia"/>
          <w:sz w:val="32"/>
          <w:szCs w:val="32"/>
        </w:rPr>
        <w:t>，是工业资源最为密集、独特的一块区域。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：规划占地面积13.6公顷，分三期开发。一、二期改造为南侧6个筒仓和1个料仓，改造后总建筑面积为25830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。目前冬奥组委已入驻1、2号筒仓。项目设计既保留外部工业风貌、内部典型设备，又满足办公需求，</w:t>
      </w:r>
      <w:r>
        <w:rPr>
          <w:rFonts w:ascii="仿宋_GB2312" w:eastAsia="仿宋_GB2312" w:hAnsi="Calibri" w:hint="eastAsia"/>
          <w:sz w:val="32"/>
          <w:szCs w:val="32"/>
        </w:rPr>
        <w:t>凸显首钢园区浓厚的工业文明和奥运体育文化。</w:t>
      </w:r>
      <w:r>
        <w:rPr>
          <w:rFonts w:ascii="仿宋_GB2312" w:eastAsia="仿宋_GB2312" w:hAnsi="仿宋_GB2312" w:cs="仿宋_GB2312" w:hint="eastAsia"/>
          <w:sz w:val="32"/>
          <w:szCs w:val="32"/>
        </w:rPr>
        <w:t>改造后的筒仓单层面积区间为330-450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，层高4.2-4.5米，层数6-7层；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仓面积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区间为90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-1500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sz w:val="32"/>
          <w:szCs w:val="32"/>
        </w:rPr>
        <w:t>，层数5层。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：集创意服务、特色商务、工业旅游、文化娱乐休闲于一体，以创意产业为主导，吸引设计服务、人居环境、广告会展、节能环保等行业。</w:t>
      </w:r>
    </w:p>
    <w:p w:rsidR="00E95CE2" w:rsidRDefault="001C76BE">
      <w:pPr>
        <w:pStyle w:val="1"/>
        <w:ind w:firstLineChars="0" w:firstLine="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（十二）首钢·城市织补创新工场东区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位于新首钢高端产业综合服务区内长安街西延线北侧。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建设布局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：该项目</w:t>
      </w:r>
      <w:r>
        <w:rPr>
          <w:rFonts w:ascii="仿宋_GB2312" w:eastAsia="仿宋_GB2312" w:hint="eastAsia"/>
          <w:sz w:val="32"/>
          <w:szCs w:val="32"/>
        </w:rPr>
        <w:t>是首钢第一个自主开发的大型城市综合体项目，规划总占地面积11.28公顷，地上建筑面积52.8万平方米。项目在利用原有工业遗迹的基础上，创新性的运用城市织补的方式，融入符合时代发展需求的新功能、新空间、新环境。</w:t>
      </w:r>
    </w:p>
    <w:p w:rsidR="00E95CE2" w:rsidRDefault="001C76B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产业定位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结合首钢产业转型，重点引进高端制造业中的研发和高端服务环节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95CE2" w:rsidRDefault="00E95CE2" w:rsidP="001C76B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95CE2" w:rsidRDefault="00E95CE2">
      <w:pPr>
        <w:tabs>
          <w:tab w:val="left" w:pos="1800"/>
        </w:tabs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E95CE2" w:rsidRDefault="00E95CE2">
      <w:pPr>
        <w:spacing w:line="560" w:lineRule="exact"/>
        <w:rPr>
          <w:rFonts w:ascii="仿宋_GB2312" w:eastAsia="仿宋_GB2312" w:hAnsi="宋体"/>
          <w:sz w:val="32"/>
        </w:rPr>
      </w:pPr>
    </w:p>
    <w:p w:rsidR="00E95CE2" w:rsidRDefault="00E95CE2"/>
    <w:sectPr w:rsidR="00E95CE2" w:rsidSect="00E9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F" w:rsidRDefault="004726FF" w:rsidP="0068739E">
      <w:r>
        <w:separator/>
      </w:r>
    </w:p>
  </w:endnote>
  <w:endnote w:type="continuationSeparator" w:id="0">
    <w:p w:rsidR="004726FF" w:rsidRDefault="004726FF" w:rsidP="006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F" w:rsidRDefault="004726FF" w:rsidP="0068739E">
      <w:r>
        <w:separator/>
      </w:r>
    </w:p>
  </w:footnote>
  <w:footnote w:type="continuationSeparator" w:id="0">
    <w:p w:rsidR="004726FF" w:rsidRDefault="004726FF" w:rsidP="00687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8762D"/>
    <w:rsid w:val="001C76BE"/>
    <w:rsid w:val="004726FF"/>
    <w:rsid w:val="0068739E"/>
    <w:rsid w:val="00713FC1"/>
    <w:rsid w:val="00E95CE2"/>
    <w:rsid w:val="0678762D"/>
    <w:rsid w:val="4F42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95CE2"/>
    <w:pPr>
      <w:ind w:firstLineChars="200" w:firstLine="420"/>
    </w:pPr>
  </w:style>
  <w:style w:type="paragraph" w:styleId="a3">
    <w:name w:val="header"/>
    <w:basedOn w:val="a"/>
    <w:link w:val="Char"/>
    <w:rsid w:val="0068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739E"/>
    <w:rPr>
      <w:kern w:val="2"/>
      <w:sz w:val="18"/>
      <w:szCs w:val="18"/>
    </w:rPr>
  </w:style>
  <w:style w:type="paragraph" w:styleId="a4">
    <w:name w:val="footer"/>
    <w:basedOn w:val="a"/>
    <w:link w:val="Char0"/>
    <w:rsid w:val="0068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73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2016-07-20T03:43:00Z</cp:lastPrinted>
  <dcterms:created xsi:type="dcterms:W3CDTF">2016-07-20T03:43:00Z</dcterms:created>
  <dcterms:modified xsi:type="dcterms:W3CDTF">2016-07-20T03:43:00Z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