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AF" w:rsidRDefault="005017AF" w:rsidP="009A1BF7">
      <w:pPr>
        <w:jc w:val="center"/>
        <w:rPr>
          <w:rFonts w:ascii="方正小标宋简体" w:eastAsia="方正小标宋简体"/>
          <w:sz w:val="40"/>
        </w:rPr>
      </w:pPr>
      <w:bookmarkStart w:id="0" w:name="_Toc453573715"/>
    </w:p>
    <w:p w:rsidR="00141419" w:rsidRDefault="009A1BF7" w:rsidP="009A1BF7">
      <w:pPr>
        <w:jc w:val="center"/>
        <w:rPr>
          <w:rFonts w:ascii="方正小标宋简体" w:eastAsia="方正小标宋简体"/>
          <w:sz w:val="40"/>
        </w:rPr>
      </w:pPr>
      <w:r w:rsidRPr="009A1BF7">
        <w:rPr>
          <w:rFonts w:ascii="方正小标宋简体" w:eastAsia="方正小标宋简体" w:hint="eastAsia"/>
          <w:sz w:val="40"/>
        </w:rPr>
        <w:t>石景山区“十三五”重点发展产业</w:t>
      </w:r>
    </w:p>
    <w:p w:rsidR="0003593C" w:rsidRPr="0003593C" w:rsidRDefault="0003593C" w:rsidP="009A1BF7">
      <w:pPr>
        <w:jc w:val="center"/>
        <w:rPr>
          <w:rFonts w:ascii="方正小标宋简体" w:eastAsia="方正小标宋简体"/>
          <w:sz w:val="40"/>
        </w:rPr>
      </w:pPr>
    </w:p>
    <w:p w:rsidR="00141419" w:rsidRPr="00561E03" w:rsidRDefault="00141419" w:rsidP="00141419">
      <w:pPr>
        <w:pStyle w:val="3"/>
        <w:spacing w:before="0" w:after="0" w:line="560" w:lineRule="exact"/>
        <w:ind w:leftChars="337" w:left="708" w:firstLine="1"/>
        <w:rPr>
          <w:rFonts w:ascii="仿宋_GB2312" w:eastAsia="仿宋_GB2312"/>
        </w:rPr>
      </w:pPr>
      <w:r w:rsidRPr="00561E03">
        <w:rPr>
          <w:rFonts w:ascii="仿宋_GB2312" w:eastAsia="仿宋_GB2312" w:hint="eastAsia"/>
        </w:rPr>
        <w:t>1、现代金融</w:t>
      </w:r>
      <w:bookmarkEnd w:id="0"/>
    </w:p>
    <w:p w:rsidR="00141419" w:rsidRPr="00DD1747" w:rsidRDefault="00141419" w:rsidP="001414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DE4D91">
        <w:rPr>
          <w:rFonts w:ascii="仿宋_GB2312" w:eastAsia="仿宋_GB2312" w:hAnsi="Calibri" w:cs="Times New Roman" w:hint="eastAsia"/>
          <w:color w:val="000000"/>
          <w:sz w:val="32"/>
          <w:szCs w:val="32"/>
        </w:rPr>
        <w:t>以北京保险产业园建设为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契机</w:t>
      </w:r>
      <w:r w:rsidRPr="00DE4D91">
        <w:rPr>
          <w:rFonts w:ascii="仿宋_GB2312" w:eastAsia="仿宋_GB2312" w:hAnsi="Calibri" w:cs="Times New Roman" w:hint="eastAsia"/>
          <w:color w:val="000000"/>
          <w:sz w:val="32"/>
          <w:szCs w:val="32"/>
        </w:rPr>
        <w:t>，以服务经济社会发展为出发点，以优化现代金融生态环境为保障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，建设</w:t>
      </w:r>
      <w:r w:rsidRPr="0050404E">
        <w:rPr>
          <w:rFonts w:ascii="仿宋_GB2312" w:eastAsia="仿宋_GB2312" w:hAnsi="Calibri" w:cs="Times New Roman" w:hint="eastAsia"/>
          <w:color w:val="000000"/>
          <w:sz w:val="32"/>
          <w:szCs w:val="32"/>
        </w:rPr>
        <w:t>以现代保险服务业为核心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主导</w:t>
      </w:r>
      <w:r w:rsidRPr="0050404E">
        <w:rPr>
          <w:rFonts w:ascii="仿宋_GB2312" w:eastAsia="仿宋_GB2312" w:hAnsi="Calibri" w:cs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以互联网金融</w:t>
      </w:r>
      <w:r w:rsidRPr="00AB096E"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消费金融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和产业金融为区域特色，以传统金融和类金融机构为重要支撑</w:t>
      </w:r>
      <w:r w:rsidRPr="0050404E">
        <w:rPr>
          <w:rFonts w:ascii="仿宋_GB2312" w:eastAsia="仿宋_GB2312" w:hAnsi="Calibri" w:cs="Times New Roman" w:hint="eastAsia"/>
          <w:color w:val="000000"/>
          <w:sz w:val="32"/>
          <w:szCs w:val="32"/>
        </w:rPr>
        <w:t>的现代金融产业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体系。 </w:t>
      </w:r>
    </w:p>
    <w:p w:rsidR="00141419" w:rsidRPr="00561E03" w:rsidRDefault="00141419" w:rsidP="00141419">
      <w:pPr>
        <w:pStyle w:val="3"/>
        <w:spacing w:before="0" w:after="0" w:line="560" w:lineRule="exact"/>
        <w:ind w:leftChars="337" w:left="708" w:firstLine="1"/>
        <w:rPr>
          <w:rFonts w:ascii="仿宋_GB2312" w:eastAsia="仿宋_GB2312"/>
        </w:rPr>
      </w:pPr>
      <w:bookmarkStart w:id="1" w:name="_Toc453573716"/>
      <w:r w:rsidRPr="00561E03">
        <w:rPr>
          <w:rFonts w:ascii="仿宋_GB2312" w:eastAsia="仿宋_GB2312" w:hint="eastAsia"/>
        </w:rPr>
        <w:t>2、</w:t>
      </w:r>
      <w:r>
        <w:rPr>
          <w:rFonts w:ascii="仿宋_GB2312" w:eastAsia="仿宋_GB2312" w:hint="eastAsia"/>
        </w:rPr>
        <w:t>高新技术</w:t>
      </w:r>
      <w:bookmarkEnd w:id="1"/>
    </w:p>
    <w:p w:rsidR="00141419" w:rsidRPr="005A24E6" w:rsidRDefault="00141419" w:rsidP="001414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依托“中关村石景山园”平台</w:t>
      </w:r>
      <w:r w:rsidRPr="00C4506E">
        <w:rPr>
          <w:rFonts w:ascii="仿宋_GB2312" w:eastAsia="仿宋_GB2312" w:hAnsi="Calibri" w:cs="Times New Roman" w:hint="eastAsia"/>
          <w:color w:val="000000"/>
          <w:sz w:val="32"/>
          <w:szCs w:val="32"/>
        </w:rPr>
        <w:t>，积极促进高新技术产业与区域文化、金融、生态等资源要素的深度融合，重点打造以新一代信息技术为品牌，以科技服务为区域特色，以人工智能新兴产业为战略培育的产业体系架构。</w:t>
      </w:r>
    </w:p>
    <w:p w:rsidR="00141419" w:rsidRPr="00561E03" w:rsidRDefault="00141419" w:rsidP="00141419">
      <w:pPr>
        <w:pStyle w:val="3"/>
        <w:spacing w:before="0" w:after="0" w:line="560" w:lineRule="exact"/>
        <w:ind w:leftChars="337" w:left="708" w:firstLine="1"/>
        <w:rPr>
          <w:rFonts w:ascii="仿宋_GB2312" w:eastAsia="仿宋_GB2312"/>
        </w:rPr>
      </w:pPr>
      <w:bookmarkStart w:id="2" w:name="_Toc453573717"/>
      <w:r w:rsidRPr="00561E03">
        <w:rPr>
          <w:rFonts w:ascii="仿宋_GB2312" w:eastAsia="仿宋_GB2312" w:hint="eastAsia"/>
        </w:rPr>
        <w:t>3、文化创意</w:t>
      </w:r>
      <w:bookmarkEnd w:id="2"/>
    </w:p>
    <w:p w:rsidR="00141419" w:rsidRDefault="00141419" w:rsidP="00141419">
      <w:pPr>
        <w:widowControl/>
        <w:spacing w:line="56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积极推进</w:t>
      </w:r>
      <w:r w:rsidRPr="002A40C5">
        <w:rPr>
          <w:rFonts w:ascii="仿宋_GB2312" w:eastAsia="仿宋_GB2312" w:hAnsi="Calibri" w:cs="Times New Roman" w:hint="eastAsia"/>
          <w:color w:val="000000"/>
          <w:sz w:val="32"/>
          <w:szCs w:val="32"/>
        </w:rPr>
        <w:t>建设“国家级文化与科技融合示范基地”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，</w:t>
      </w:r>
      <w:r w:rsidRPr="00A5509B">
        <w:rPr>
          <w:rFonts w:ascii="仿宋_GB2312" w:eastAsia="仿宋_GB2312" w:hAnsi="Calibri" w:cs="Times New Roman" w:hint="eastAsia"/>
          <w:color w:val="000000"/>
          <w:sz w:val="32"/>
          <w:szCs w:val="32"/>
        </w:rPr>
        <w:t>全力对接北京市文化创意产业提升规划、功能区规划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，</w:t>
      </w:r>
      <w:r w:rsidRPr="00CF166E">
        <w:rPr>
          <w:rFonts w:ascii="仿宋_GB2312" w:eastAsia="仿宋_GB2312" w:hAnsi="Calibri" w:cs="Times New Roman" w:hint="eastAsia"/>
          <w:color w:val="000000"/>
          <w:sz w:val="32"/>
          <w:szCs w:val="32"/>
        </w:rPr>
        <w:t>实施产业多元化发展战略，巩固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发展动漫游戏</w:t>
      </w:r>
      <w:r w:rsidRPr="00A5509B">
        <w:rPr>
          <w:rFonts w:ascii="仿宋_GB2312" w:eastAsia="仿宋_GB2312" w:hAnsi="Calibri" w:cs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影视制作</w:t>
      </w:r>
      <w:r w:rsidRPr="00A5509B">
        <w:rPr>
          <w:rFonts w:ascii="仿宋_GB2312" w:eastAsia="仿宋_GB2312" w:hAnsi="Calibri" w:cs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设计服务等优势产业，创新发展新闻出版等传统产业，开发</w:t>
      </w:r>
      <w:r w:rsidRPr="00DE051D">
        <w:rPr>
          <w:rFonts w:ascii="仿宋_GB2312" w:eastAsia="仿宋_GB2312" w:hAnsi="Calibri" w:cs="Times New Roman" w:hint="eastAsia"/>
          <w:color w:val="000000"/>
          <w:sz w:val="32"/>
          <w:szCs w:val="32"/>
        </w:rPr>
        <w:t>广告会展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等潜力产业市场，</w:t>
      </w:r>
      <w:r w:rsidRPr="00024C50">
        <w:rPr>
          <w:rFonts w:ascii="仿宋_GB2312" w:eastAsia="仿宋_GB2312" w:hAnsi="Calibri" w:cs="Times New Roman" w:hint="eastAsia"/>
          <w:color w:val="000000"/>
          <w:sz w:val="32"/>
          <w:szCs w:val="32"/>
        </w:rPr>
        <w:t>实现“文化+”业态融合发展。</w:t>
      </w:r>
    </w:p>
    <w:p w:rsidR="00141419" w:rsidRPr="0048690A" w:rsidRDefault="00141419" w:rsidP="00141419">
      <w:pPr>
        <w:pStyle w:val="3"/>
        <w:spacing w:before="0" w:after="0" w:line="560" w:lineRule="exact"/>
        <w:ind w:leftChars="337" w:left="708" w:firstLine="1"/>
        <w:rPr>
          <w:rFonts w:ascii="仿宋_GB2312" w:eastAsia="仿宋_GB2312"/>
          <w:b w:val="0"/>
        </w:rPr>
      </w:pPr>
      <w:bookmarkStart w:id="3" w:name="_Toc453573718"/>
      <w:r w:rsidRPr="00561E03">
        <w:rPr>
          <w:rFonts w:ascii="仿宋_GB2312" w:eastAsia="仿宋_GB2312" w:hint="eastAsia"/>
        </w:rPr>
        <w:t>4、商务</w:t>
      </w:r>
      <w:r w:rsidRPr="00561E03">
        <w:rPr>
          <w:rFonts w:ascii="仿宋_GB2312" w:eastAsia="仿宋_GB2312"/>
        </w:rPr>
        <w:t>服务</w:t>
      </w:r>
      <w:bookmarkEnd w:id="3"/>
    </w:p>
    <w:p w:rsidR="00141419" w:rsidRDefault="00141419" w:rsidP="00141419">
      <w:pPr>
        <w:widowControl/>
        <w:spacing w:line="56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紧抓</w:t>
      </w:r>
      <w:r w:rsidRPr="008717D5">
        <w:rPr>
          <w:rFonts w:ascii="仿宋_GB2312" w:eastAsia="仿宋_GB2312" w:hAnsi="Calibri" w:cs="Times New Roman" w:hint="eastAsia"/>
          <w:color w:val="000000"/>
          <w:sz w:val="32"/>
          <w:szCs w:val="32"/>
        </w:rPr>
        <w:t>国家服务业综合改革试点区和北京市服务业对外开放合作的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战略机遇</w:t>
      </w:r>
      <w:r w:rsidRPr="00285E55">
        <w:rPr>
          <w:rFonts w:ascii="仿宋_GB2312" w:eastAsia="仿宋_GB2312" w:hAnsi="Calibri" w:cs="Times New Roman" w:hint="eastAsia"/>
          <w:color w:val="000000"/>
          <w:sz w:val="32"/>
          <w:szCs w:val="32"/>
        </w:rPr>
        <w:t>，以高端、绿色产业为核心，</w:t>
      </w:r>
      <w:r w:rsidRPr="007E19E5">
        <w:rPr>
          <w:rFonts w:ascii="仿宋_GB2312" w:eastAsia="仿宋_GB2312" w:hAnsi="Calibri" w:cs="Times New Roman" w:hint="eastAsia"/>
          <w:color w:val="000000"/>
          <w:sz w:val="32"/>
          <w:szCs w:val="32"/>
        </w:rPr>
        <w:t>重点发展</w:t>
      </w:r>
      <w:r w:rsidRPr="007E19E5">
        <w:rPr>
          <w:rFonts w:ascii="仿宋_GB2312" w:eastAsia="仿宋_GB2312" w:hAnsi="Calibri" w:cs="Times New Roman" w:hint="eastAsia"/>
          <w:color w:val="000000"/>
          <w:sz w:val="32"/>
          <w:szCs w:val="32"/>
        </w:rPr>
        <w:lastRenderedPageBreak/>
        <w:t>电子商务、商业保理、企业管理、咨询服务等领域的前沿热点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，推动石景山商务服务</w:t>
      </w:r>
      <w:r w:rsidRPr="003102A1">
        <w:rPr>
          <w:rFonts w:ascii="仿宋_GB2312" w:eastAsia="仿宋_GB2312" w:hAnsi="Calibri" w:cs="Times New Roman" w:hint="eastAsia"/>
          <w:color w:val="000000"/>
          <w:sz w:val="32"/>
          <w:szCs w:val="32"/>
        </w:rPr>
        <w:t>业向高端化、绿色化、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品牌化</w:t>
      </w:r>
      <w:r w:rsidRPr="003102A1">
        <w:rPr>
          <w:rFonts w:ascii="仿宋_GB2312" w:eastAsia="仿宋_GB2312" w:hAnsi="Calibri" w:cs="Times New Roman" w:hint="eastAsia"/>
          <w:color w:val="000000"/>
          <w:sz w:val="32"/>
          <w:szCs w:val="32"/>
        </w:rPr>
        <w:t>发展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。</w:t>
      </w:r>
    </w:p>
    <w:p w:rsidR="00141419" w:rsidRPr="00561E03" w:rsidRDefault="00141419" w:rsidP="00141419">
      <w:pPr>
        <w:pStyle w:val="3"/>
        <w:spacing w:before="0" w:after="0" w:line="560" w:lineRule="exact"/>
        <w:ind w:leftChars="337" w:left="708" w:firstLine="1"/>
        <w:rPr>
          <w:rFonts w:ascii="仿宋_GB2312" w:eastAsia="仿宋_GB2312"/>
        </w:rPr>
      </w:pPr>
      <w:bookmarkStart w:id="4" w:name="_Toc453573719"/>
      <w:r w:rsidRPr="00561E03">
        <w:rPr>
          <w:rFonts w:ascii="仿宋_GB2312" w:eastAsia="仿宋_GB2312" w:hint="eastAsia"/>
        </w:rPr>
        <w:t>5、旅游休闲</w:t>
      </w:r>
      <w:bookmarkEnd w:id="4"/>
    </w:p>
    <w:p w:rsidR="00141419" w:rsidRDefault="00141419" w:rsidP="001414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D31FF7">
        <w:rPr>
          <w:rFonts w:ascii="仿宋_GB2312" w:eastAsia="仿宋_GB2312" w:hAnsi="Calibri" w:cs="Times New Roman" w:hint="eastAsia"/>
          <w:color w:val="000000"/>
          <w:sz w:val="32"/>
          <w:szCs w:val="32"/>
        </w:rPr>
        <w:t>深度整合区内优势资源，推进旅游与文化创意、商务服务等相关产业融合发展，加快高端旅游载体品质提升，完善旅游基础设施，加强高端旅游品牌塑造，将石景山打造成为集工业旅游、历史文化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游</w:t>
      </w:r>
      <w:r w:rsidRPr="00D31FF7">
        <w:rPr>
          <w:rFonts w:ascii="仿宋_GB2312" w:eastAsia="仿宋_GB2312" w:hAnsi="Calibri" w:cs="Times New Roman" w:hint="eastAsia"/>
          <w:color w:val="000000"/>
          <w:sz w:val="32"/>
          <w:szCs w:val="32"/>
        </w:rPr>
        <w:t>、都市休闲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游</w:t>
      </w:r>
      <w:r w:rsidRPr="00D31FF7">
        <w:rPr>
          <w:rFonts w:ascii="仿宋_GB2312" w:eastAsia="仿宋_GB2312" w:hAnsi="Calibri" w:cs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体育赛事旅游和</w:t>
      </w:r>
      <w:r w:rsidRPr="00D31FF7">
        <w:rPr>
          <w:rFonts w:ascii="仿宋_GB2312" w:eastAsia="仿宋_GB2312" w:hAnsi="Calibri" w:cs="Times New Roman" w:hint="eastAsia"/>
          <w:color w:val="000000"/>
          <w:sz w:val="32"/>
          <w:szCs w:val="32"/>
        </w:rPr>
        <w:t>虚拟旅游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为一体</w:t>
      </w:r>
      <w:r w:rsidRPr="00D31FF7">
        <w:rPr>
          <w:rFonts w:ascii="仿宋_GB2312" w:eastAsia="仿宋_GB2312" w:hAnsi="Calibri" w:cs="Times New Roman" w:hint="eastAsia"/>
          <w:color w:val="000000"/>
          <w:sz w:val="32"/>
          <w:szCs w:val="32"/>
        </w:rPr>
        <w:t>的旅游休闲中心。</w:t>
      </w:r>
    </w:p>
    <w:p w:rsidR="00D053B7" w:rsidRPr="00141419" w:rsidRDefault="00D053B7"/>
    <w:sectPr w:rsidR="00D053B7" w:rsidRPr="00141419" w:rsidSect="00D05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91" w:rsidRDefault="00AD4F91" w:rsidP="00C932C5">
      <w:r>
        <w:separator/>
      </w:r>
    </w:p>
  </w:endnote>
  <w:endnote w:type="continuationSeparator" w:id="0">
    <w:p w:rsidR="00AD4F91" w:rsidRDefault="00AD4F91" w:rsidP="00C9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91" w:rsidRDefault="00AD4F91" w:rsidP="00C932C5">
      <w:r>
        <w:separator/>
      </w:r>
    </w:p>
  </w:footnote>
  <w:footnote w:type="continuationSeparator" w:id="0">
    <w:p w:rsidR="00AD4F91" w:rsidRDefault="00AD4F91" w:rsidP="00C93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74152"/>
    <w:multiLevelType w:val="hybridMultilevel"/>
    <w:tmpl w:val="48A685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419"/>
    <w:rsid w:val="0003593C"/>
    <w:rsid w:val="00141419"/>
    <w:rsid w:val="002A4FD6"/>
    <w:rsid w:val="00335DBA"/>
    <w:rsid w:val="004D4FA8"/>
    <w:rsid w:val="005017AF"/>
    <w:rsid w:val="00535D20"/>
    <w:rsid w:val="00542623"/>
    <w:rsid w:val="005E736F"/>
    <w:rsid w:val="00672913"/>
    <w:rsid w:val="00680BE6"/>
    <w:rsid w:val="009A1BF7"/>
    <w:rsid w:val="00AD4F91"/>
    <w:rsid w:val="00C932C5"/>
    <w:rsid w:val="00D053B7"/>
    <w:rsid w:val="00E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9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1414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41419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C93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1058A-AD53-4274-AA31-78B69314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liliangzhi</dc:creator>
  <cp:lastModifiedBy>NTKO</cp:lastModifiedBy>
  <cp:revision>6</cp:revision>
  <cp:lastPrinted>2016-07-20T03:46:00Z</cp:lastPrinted>
  <dcterms:created xsi:type="dcterms:W3CDTF">2016-07-20T01:31:00Z</dcterms:created>
  <dcterms:modified xsi:type="dcterms:W3CDTF">2016-07-20T03:47:00Z</dcterms:modified>
</cp:coreProperties>
</file>